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C6" w:rsidRPr="00C3539A" w:rsidRDefault="00E771C6" w:rsidP="00EE0E20">
      <w:pPr>
        <w:spacing w:before="57" w:after="57" w:line="360" w:lineRule="auto"/>
        <w:ind w:left="5670"/>
        <w:rPr>
          <w:color w:val="auto"/>
          <w:sz w:val="20"/>
          <w:szCs w:val="20"/>
        </w:rPr>
      </w:pPr>
      <w:r w:rsidRPr="00C3539A">
        <w:rPr>
          <w:color w:val="auto"/>
          <w:sz w:val="20"/>
          <w:szCs w:val="20"/>
        </w:rPr>
        <w:t xml:space="preserve">Załącznik do Zarządzenia nr </w:t>
      </w:r>
      <w:r w:rsidR="002F3979">
        <w:rPr>
          <w:color w:val="auto"/>
          <w:sz w:val="20"/>
          <w:szCs w:val="20"/>
        </w:rPr>
        <w:t>145/2021</w:t>
      </w:r>
      <w:r w:rsidR="00EE0E20">
        <w:rPr>
          <w:color w:val="auto"/>
          <w:sz w:val="20"/>
          <w:szCs w:val="20"/>
        </w:rPr>
        <w:t xml:space="preserve"> </w:t>
      </w:r>
    </w:p>
    <w:p w:rsidR="00E771C6" w:rsidRPr="00C3539A" w:rsidRDefault="00E771C6" w:rsidP="00EE0E20">
      <w:pPr>
        <w:spacing w:before="57" w:after="57" w:line="360" w:lineRule="auto"/>
        <w:ind w:left="5670"/>
        <w:rPr>
          <w:color w:val="auto"/>
          <w:sz w:val="20"/>
          <w:szCs w:val="20"/>
        </w:rPr>
      </w:pPr>
      <w:r w:rsidRPr="00C3539A">
        <w:rPr>
          <w:color w:val="auto"/>
          <w:sz w:val="20"/>
          <w:szCs w:val="20"/>
        </w:rPr>
        <w:t xml:space="preserve">Komendanta-Rektora </w:t>
      </w:r>
    </w:p>
    <w:p w:rsidR="00E771C6" w:rsidRPr="00C3539A" w:rsidRDefault="00E771C6" w:rsidP="00EE0E20">
      <w:pPr>
        <w:spacing w:before="57" w:after="57" w:line="360" w:lineRule="auto"/>
        <w:ind w:left="5670"/>
        <w:rPr>
          <w:color w:val="auto"/>
          <w:sz w:val="20"/>
          <w:szCs w:val="20"/>
        </w:rPr>
      </w:pPr>
      <w:r w:rsidRPr="00C3539A">
        <w:rPr>
          <w:color w:val="auto"/>
          <w:sz w:val="20"/>
          <w:szCs w:val="20"/>
        </w:rPr>
        <w:t>Wyższej Szkoły Policji w Szczytnie</w:t>
      </w:r>
    </w:p>
    <w:p w:rsidR="00E771C6" w:rsidRPr="00C3539A" w:rsidRDefault="00C3539A" w:rsidP="00EE0E20">
      <w:pPr>
        <w:spacing w:before="57" w:after="57" w:line="360" w:lineRule="auto"/>
        <w:ind w:left="567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</w:t>
      </w:r>
      <w:r w:rsidR="00E771C6" w:rsidRPr="00C3539A">
        <w:rPr>
          <w:color w:val="auto"/>
          <w:sz w:val="20"/>
          <w:szCs w:val="20"/>
        </w:rPr>
        <w:t xml:space="preserve"> dnia</w:t>
      </w:r>
      <w:r w:rsidR="002F3979">
        <w:rPr>
          <w:color w:val="auto"/>
          <w:sz w:val="20"/>
          <w:szCs w:val="20"/>
        </w:rPr>
        <w:t xml:space="preserve"> 1. grudnia 2021 r.</w:t>
      </w:r>
    </w:p>
    <w:p w:rsidR="00E771C6" w:rsidRDefault="00E771C6" w:rsidP="00434BCF">
      <w:pPr>
        <w:spacing w:before="720" w:after="7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Polityka otwartego dostępu do pu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blikacji naukowych i danych badawczych pracowników Wyższej Szkoły Policji w Szczytnie </w:t>
      </w:r>
    </w:p>
    <w:p w:rsidR="00E771C6" w:rsidRDefault="00E771C6" w:rsidP="00E771C6">
      <w:pPr>
        <w:spacing w:line="360" w:lineRule="auto"/>
        <w:jc w:val="both"/>
        <w:rPr>
          <w:color w:val="auto"/>
        </w:rPr>
      </w:pPr>
      <w:r>
        <w:rPr>
          <w:color w:val="auto"/>
        </w:rPr>
        <w:t>Wyższa Szkoła Policji w Szczytnie realizuje „Politykę otwartego dostępu do publikacji naukowych i danych badawczych pracowników Wyższej Szkoły Policji w Szczytnie</w:t>
      </w:r>
      <w:r w:rsidR="00C3539A">
        <w:rPr>
          <w:color w:val="auto"/>
        </w:rPr>
        <w:t>”</w:t>
      </w:r>
      <w:r>
        <w:rPr>
          <w:color w:val="auto"/>
        </w:rPr>
        <w:t>, zwaną dalej „Polityką otwartego dostępu”, tworząc warunki do udostępniania publikacji naukowych i danych badawczych pracowników Wyższej Szkole Policji w Szczytnie.</w:t>
      </w:r>
    </w:p>
    <w:p w:rsidR="00E771C6" w:rsidRDefault="00E771C6" w:rsidP="00434BCF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b/>
          <w:color w:val="auto"/>
        </w:rPr>
        <w:t>§ 1.</w:t>
      </w:r>
    </w:p>
    <w:p w:rsidR="00E771C6" w:rsidRDefault="00E771C6" w:rsidP="00E771C6">
      <w:pPr>
        <w:pStyle w:val="Akapitzlist"/>
        <w:numPr>
          <w:ilvl w:val="0"/>
          <w:numId w:val="1"/>
        </w:numPr>
        <w:spacing w:line="360" w:lineRule="auto"/>
        <w:ind w:left="0" w:firstLine="284"/>
        <w:jc w:val="both"/>
      </w:pPr>
      <w:r>
        <w:t>Pojęcia używane w niniejszej Polityce należy rozumieć zgodnie z definicjami przyjętymi w „Regulaminie zarządzania prawami autorskimi, prawami pokrewnymi i prawami własności przemysłowej oraz zasad komercjalizacji w Wyższej Szkole Policji w Szczytnie” stanowiącym załącznik do uchwały Senatu Wyższej Szkole Policji w Szczytnie nr 60/IV/2019 z dnia 10.09.2019 r. zwanym dalej „Regulaminem”.</w:t>
      </w:r>
    </w:p>
    <w:p w:rsidR="00E771C6" w:rsidRDefault="00E771C6" w:rsidP="00E771C6">
      <w:pPr>
        <w:pStyle w:val="Akapitzlist"/>
        <w:numPr>
          <w:ilvl w:val="0"/>
          <w:numId w:val="1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color w:val="auto"/>
        </w:rPr>
        <w:t xml:space="preserve">Polityka otwartego dostępu </w:t>
      </w:r>
      <w:r>
        <w:rPr>
          <w:rFonts w:ascii="Times New Roman" w:hAnsi="Times New Roman" w:cs="Times New Roman"/>
        </w:rPr>
        <w:t>nie narusza obowiązków wynikających z Regulaminu, a  w szczególności zobowiązania autorów do rozpowszechniania publikacji naukowych w sposób, który nie doprowadzi do pozbawienia ochrony prawnej innych rezultatów twórczych (tj. np. możliwości uzyskania patentu na wynalazek opisany w utworze).</w:t>
      </w:r>
    </w:p>
    <w:p w:rsidR="00C3539A" w:rsidRPr="00C3539A" w:rsidRDefault="00E771C6" w:rsidP="00C3539A">
      <w:pPr>
        <w:pStyle w:val="Akapitzlist"/>
        <w:numPr>
          <w:ilvl w:val="0"/>
          <w:numId w:val="1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>
        <w:rPr>
          <w:color w:val="auto"/>
        </w:rPr>
        <w:t>Polityka otwartego dostępu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</w:rPr>
        <w:t>obowiązuje pracowników Wyższej Szkoły Policji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w Szczytnie, a także inne osoby z którymi Wyższa Szkoła Policji w Szczytnie zawarła umowę przewidującą zastosowanie </w:t>
      </w:r>
      <w:r>
        <w:rPr>
          <w:color w:val="auto"/>
        </w:rPr>
        <w:t>Polityki otwartego dostępu</w:t>
      </w:r>
      <w:r>
        <w:rPr>
          <w:rFonts w:ascii="Times New Roman" w:hAnsi="Times New Roman" w:cs="Times New Roman"/>
          <w:color w:val="auto"/>
        </w:rPr>
        <w:t>.</w:t>
      </w:r>
    </w:p>
    <w:p w:rsidR="00E771C6" w:rsidRDefault="00E771C6" w:rsidP="00E771C6">
      <w:pPr>
        <w:pStyle w:val="Akapitzlist"/>
        <w:numPr>
          <w:ilvl w:val="0"/>
          <w:numId w:val="1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Ilekroć w Polityce otwartego dostępu jest mowa o:</w:t>
      </w:r>
    </w:p>
    <w:p w:rsidR="00E771C6" w:rsidRDefault="00E771C6" w:rsidP="00E771C6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publikacjach naukowych – należy przez to rozumieć:</w:t>
      </w:r>
    </w:p>
    <w:p w:rsidR="00E771C6" w:rsidRDefault="00E771C6" w:rsidP="00E771C6">
      <w:pPr>
        <w:pStyle w:val="Akapitzlist"/>
        <w:numPr>
          <w:ilvl w:val="1"/>
          <w:numId w:val="2"/>
        </w:numPr>
        <w:spacing w:before="57" w:after="5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publikacje w czasopismach naukowych,</w:t>
      </w:r>
    </w:p>
    <w:p w:rsidR="00E771C6" w:rsidRDefault="00E771C6" w:rsidP="00E771C6">
      <w:pPr>
        <w:pStyle w:val="Akapitzlist"/>
        <w:numPr>
          <w:ilvl w:val="1"/>
          <w:numId w:val="2"/>
        </w:numPr>
        <w:spacing w:before="57" w:after="5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publikacje w recenzowanych materiałach z konferencji,</w:t>
      </w:r>
    </w:p>
    <w:p w:rsidR="00E771C6" w:rsidRDefault="00E771C6" w:rsidP="00E771C6">
      <w:pPr>
        <w:pStyle w:val="Akapitzlist"/>
        <w:numPr>
          <w:ilvl w:val="1"/>
          <w:numId w:val="2"/>
        </w:numPr>
        <w:spacing w:before="57" w:after="5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monografie naukowe oraz rozdziały w monografiach naukowych;</w:t>
      </w:r>
    </w:p>
    <w:p w:rsidR="00E771C6" w:rsidRDefault="00E771C6" w:rsidP="00E771C6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auto"/>
        </w:rPr>
        <w:lastRenderedPageBreak/>
        <w:t xml:space="preserve">danych badawczych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auto"/>
        </w:rPr>
        <w:t>należy przez to rozumieć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Times New Roman"/>
        </w:rPr>
        <w:t xml:space="preserve">dane zebrane, wytworzone lub </w:t>
      </w:r>
      <w:r>
        <w:rPr>
          <w:rFonts w:ascii="Times New Roman" w:eastAsia="Arial" w:hAnsi="Times New Roman" w:cs="Times New Roman"/>
          <w:color w:val="auto"/>
        </w:rPr>
        <w:t>przetworzone</w:t>
      </w:r>
      <w:r>
        <w:rPr>
          <w:rFonts w:ascii="Times New Roman" w:eastAsia="Arial" w:hAnsi="Times New Roman" w:cs="Times New Roman"/>
        </w:rPr>
        <w:t xml:space="preserve"> jako materiał do analizy w ramach prac badawczych, badań naukowych lub </w:t>
      </w:r>
      <w:r>
        <w:rPr>
          <w:rFonts w:ascii="Times New Roman" w:eastAsia="Arial" w:hAnsi="Times New Roman" w:cs="Times New Roman"/>
          <w:color w:val="auto"/>
        </w:rPr>
        <w:t xml:space="preserve">prac rozwojowych </w:t>
      </w:r>
      <w:r>
        <w:rPr>
          <w:rFonts w:ascii="Times New Roman" w:eastAsia="Arial" w:hAnsi="Times New Roman" w:cs="Times New Roman"/>
        </w:rPr>
        <w:t>prowadzonych w Wyższej Szkole Policji w Szczytnie;</w:t>
      </w:r>
    </w:p>
    <w:p w:rsidR="00E771C6" w:rsidRDefault="00E771C6" w:rsidP="00E771C6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wolnych licencjach – należy przez to rozumieć licencje: Creative Commons Uznanie autorstwa wersja 4.0 lub późniejsza (CC-BY) lub Creative Commons Uznanie autorstwa - Na tych samych warunkach wersja 4.0 lub późniejsza (CC-BY-SA);</w:t>
      </w:r>
    </w:p>
    <w:p w:rsidR="00E771C6" w:rsidRDefault="00E771C6" w:rsidP="00E771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metadanych - należy przez to rozumieć informacje na temat takich danych jak: autor, tytuł, streszczenie oraz słowa kluczowe, opisujące zasób informacji lub obiekt;</w:t>
      </w:r>
    </w:p>
    <w:p w:rsidR="00E771C6" w:rsidRDefault="00E771C6" w:rsidP="00E771C6">
      <w:pPr>
        <w:pStyle w:val="Akapitzlist"/>
        <w:numPr>
          <w:ilvl w:val="0"/>
          <w:numId w:val="2"/>
        </w:numPr>
        <w:spacing w:before="57" w:after="5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Pełnomocniku do Spraw Otwartego Dostępu – należy przez to rozumieć osobę wyznaczoną przez Komendanta-Rektora Wyższej Szkoły Policji w Szczytnie do koordynacji prac związanych z otwartym dostępem do publikacji naukowych </w:t>
      </w:r>
      <w:r>
        <w:rPr>
          <w:rFonts w:ascii="Times New Roman" w:hAnsi="Times New Roman" w:cs="Times New Roman"/>
          <w:color w:val="auto"/>
        </w:rPr>
        <w:br/>
        <w:t xml:space="preserve">i danych badawczych. </w:t>
      </w:r>
    </w:p>
    <w:p w:rsidR="00E771C6" w:rsidRDefault="00E771C6" w:rsidP="00434BCF">
      <w:pPr>
        <w:spacing w:before="240" w:after="240" w:line="360" w:lineRule="auto"/>
        <w:jc w:val="center"/>
        <w:rPr>
          <w:b/>
          <w:color w:val="auto"/>
        </w:rPr>
      </w:pPr>
      <w:r>
        <w:rPr>
          <w:b/>
          <w:color w:val="auto"/>
        </w:rPr>
        <w:t>§ 2.</w:t>
      </w:r>
    </w:p>
    <w:p w:rsidR="00E771C6" w:rsidRDefault="00E771C6" w:rsidP="00E771C6">
      <w:pPr>
        <w:pStyle w:val="Akapitzlist"/>
        <w:numPr>
          <w:ilvl w:val="0"/>
          <w:numId w:val="3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Autorzy publikacji naukowych </w:t>
      </w:r>
      <w:r>
        <w:rPr>
          <w:rFonts w:ascii="Times New Roman" w:hAnsi="Times New Roman" w:cs="Times New Roman"/>
        </w:rPr>
        <w:t xml:space="preserve">zapewniają otwarty dostęp do </w:t>
      </w:r>
      <w:r>
        <w:rPr>
          <w:rFonts w:ascii="Times New Roman" w:hAnsi="Times New Roman" w:cs="Times New Roman"/>
          <w:color w:val="auto"/>
        </w:rPr>
        <w:t xml:space="preserve">publikacji naukowych  </w:t>
      </w:r>
      <w:r>
        <w:rPr>
          <w:rFonts w:ascii="Times New Roman" w:hAnsi="Times New Roman" w:cs="Times New Roman"/>
        </w:rPr>
        <w:t>przez:</w:t>
      </w:r>
    </w:p>
    <w:p w:rsidR="00E771C6" w:rsidRDefault="00E771C6" w:rsidP="00E771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zdeponowanie elektronicznej postaci ostatecznej wersji pełnego tekstu publikacji naukowej w repozytorium wskazanym przez Pełnomocnika do Spraw Otwartego Dostępu, osobiście lub za pośrednictwem uprawnionych pracowników WSPol;</w:t>
      </w:r>
    </w:p>
    <w:p w:rsidR="00E771C6" w:rsidRDefault="00E771C6" w:rsidP="00E771C6">
      <w:pPr>
        <w:pStyle w:val="Akapitzlist"/>
        <w:numPr>
          <w:ilvl w:val="0"/>
          <w:numId w:val="4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publiczne udostępnienie publikacji naukowych tak, aby każdy mógł mieć do niej dostęp w  miejscu i w czasie przez siebie wybranym oraz możliwość nieodpłatnego i nieograniczonego technicznie korzystania z niej, wraz z udzieleniem wolnej licencji.</w:t>
      </w:r>
    </w:p>
    <w:p w:rsidR="00E771C6" w:rsidRDefault="00E771C6" w:rsidP="00E771C6">
      <w:pPr>
        <w:pStyle w:val="Akapitzlist"/>
        <w:numPr>
          <w:ilvl w:val="0"/>
          <w:numId w:val="3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Publiczne udostępnienie, o którym mowa w </w:t>
      </w:r>
      <w:r>
        <w:rPr>
          <w:rFonts w:ascii="Times New Roman" w:hAnsi="Times New Roman" w:cs="Times New Roman"/>
          <w:color w:val="auto"/>
        </w:rPr>
        <w:t>§ 2 ust. 1 pkt 2</w:t>
      </w:r>
      <w:r>
        <w:rPr>
          <w:rFonts w:ascii="Times New Roman" w:hAnsi="Times New Roman" w:cs="Times New Roman"/>
        </w:rPr>
        <w:t xml:space="preserve">, zapewnia się niezwłocznie po opublikowaniu, nie później niż w terminie  </w:t>
      </w:r>
      <w:r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auto"/>
        </w:rPr>
        <w:t>miesięcy od daty wydania publikacji naukowej.</w:t>
      </w:r>
    </w:p>
    <w:p w:rsidR="00E771C6" w:rsidRDefault="00E771C6" w:rsidP="00BD6964">
      <w:pPr>
        <w:pStyle w:val="Akapitzlist"/>
        <w:numPr>
          <w:ilvl w:val="0"/>
          <w:numId w:val="3"/>
        </w:numPr>
        <w:spacing w:before="57" w:after="57" w:line="360" w:lineRule="auto"/>
        <w:ind w:left="0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Autorzy publikacji naukowych są w szczególności zobowiązani do uprzedniego uzgadniania realizacji zobowiązania wskazanego w </w:t>
      </w:r>
      <w:r>
        <w:rPr>
          <w:rFonts w:ascii="Times New Roman" w:hAnsi="Times New Roman" w:cs="Times New Roman"/>
          <w:color w:val="auto"/>
        </w:rPr>
        <w:t>§ 2 ust. 1</w:t>
      </w:r>
      <w:r>
        <w:rPr>
          <w:rFonts w:ascii="Times New Roman" w:hAnsi="Times New Roman" w:cs="Times New Roman"/>
        </w:rPr>
        <w:t xml:space="preserve">, w tym do udzielania dla publikacji naukowych licencji niewyłącznych, które nie zawierają postanowień ograniczających lub wyłączających możliwość wykonania tego zobowiązania z: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1) wydawcami oraz innymi podmiotami posiadającymi prawo do publikacji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naukowych, w szczególności ze współautorami, </w:t>
      </w:r>
      <w:r w:rsidR="00BD6964">
        <w:rPr>
          <w:rFonts w:ascii="Times New Roman" w:hAnsi="Times New Roman" w:cs="Times New Roman"/>
        </w:rPr>
        <w:t>redaktora</w:t>
      </w:r>
      <w:r w:rsidR="00434BCF">
        <w:rPr>
          <w:rFonts w:ascii="Times New Roman" w:hAnsi="Times New Roman" w:cs="Times New Roman"/>
        </w:rPr>
        <w:t xml:space="preserve">mi naukowymi, </w:t>
      </w:r>
      <w:r>
        <w:rPr>
          <w:rFonts w:ascii="Times New Roman" w:hAnsi="Times New Roman" w:cs="Times New Roman"/>
        </w:rPr>
        <w:t>organizatorami konferencji naukowych;</w:t>
      </w:r>
    </w:p>
    <w:p w:rsidR="00E771C6" w:rsidRDefault="00E771C6" w:rsidP="00E771C6">
      <w:pPr>
        <w:pStyle w:val="Akapitzlist"/>
        <w:spacing w:before="57" w:after="57" w:line="36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twórcami oryginałów (w przypadku utworów stanowiących opracowanie, np.  tłumaczenie już istniejących publikacji naukowych).</w:t>
      </w:r>
    </w:p>
    <w:p w:rsidR="00E771C6" w:rsidRDefault="00E771C6" w:rsidP="00E771C6">
      <w:pPr>
        <w:pStyle w:val="Akapitzlist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Dopuszcz</w:t>
      </w:r>
      <w:r w:rsidR="00FE4B28">
        <w:rPr>
          <w:rFonts w:ascii="Times New Roman" w:hAnsi="Times New Roman" w:cs="Times New Roman"/>
          <w:color w:val="auto"/>
        </w:rPr>
        <w:t>a się ograniczenie przez autor</w:t>
      </w:r>
      <w:r>
        <w:rPr>
          <w:rFonts w:ascii="Times New Roman" w:hAnsi="Times New Roman" w:cs="Times New Roman"/>
          <w:color w:val="auto"/>
        </w:rPr>
        <w:t>ów publikacji naukowych zakresu korzystania z nich poprzez:</w:t>
      </w:r>
    </w:p>
    <w:p w:rsidR="00E771C6" w:rsidRDefault="00E771C6" w:rsidP="00E771C6">
      <w:pPr>
        <w:pStyle w:val="Akapitzlist"/>
        <w:numPr>
          <w:ilvl w:val="0"/>
          <w:numId w:val="5"/>
        </w:numPr>
        <w:spacing w:before="57" w:after="57" w:line="36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wskazanie wybranych zasobów publikacji naukowych;</w:t>
      </w:r>
    </w:p>
    <w:p w:rsidR="00E771C6" w:rsidRDefault="00E771C6" w:rsidP="00E771C6">
      <w:pPr>
        <w:pStyle w:val="Akapitzlist"/>
        <w:numPr>
          <w:ilvl w:val="0"/>
          <w:numId w:val="5"/>
        </w:numPr>
        <w:spacing w:before="57" w:after="5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wskazanie wybranych kategorii podmiotów uprawnionych do korzystania z publikacji naukowych.</w:t>
      </w:r>
    </w:p>
    <w:p w:rsidR="00E771C6" w:rsidRDefault="00E771C6" w:rsidP="00E771C6">
      <w:pPr>
        <w:pStyle w:val="Akapitzlist"/>
        <w:numPr>
          <w:ilvl w:val="0"/>
          <w:numId w:val="3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Wsparcie w zakresie realizacji wymagań przewidzianych w § 2 ust. 1 zapewniają:</w:t>
      </w:r>
    </w:p>
    <w:p w:rsidR="00E771C6" w:rsidRDefault="00E771C6" w:rsidP="00E771C6">
      <w:pPr>
        <w:pStyle w:val="Akapitzlist"/>
        <w:numPr>
          <w:ilvl w:val="0"/>
          <w:numId w:val="6"/>
        </w:numPr>
        <w:spacing w:before="57" w:after="57"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Pełnomocnik do Spraw Otwartego Dostępu;</w:t>
      </w:r>
    </w:p>
    <w:p w:rsidR="00E771C6" w:rsidRDefault="00E771C6" w:rsidP="00E771C6">
      <w:pPr>
        <w:pStyle w:val="Akapitzlist"/>
        <w:numPr>
          <w:ilvl w:val="0"/>
          <w:numId w:val="6"/>
        </w:numPr>
        <w:spacing w:before="57" w:after="57"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uprawnieni pracownicy WSPol.</w:t>
      </w:r>
    </w:p>
    <w:p w:rsidR="00E771C6" w:rsidRDefault="00E771C6" w:rsidP="00434BCF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b/>
          <w:color w:val="auto"/>
        </w:rPr>
        <w:t>§ 3.</w:t>
      </w:r>
    </w:p>
    <w:p w:rsidR="00E771C6" w:rsidRDefault="00E771C6" w:rsidP="00E771C6">
      <w:pPr>
        <w:pStyle w:val="Akapitzlist"/>
        <w:numPr>
          <w:ilvl w:val="0"/>
          <w:numId w:val="7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prace naukowo-badawcze dokładają wszelkich starań w celu zapewnienia otwartego dostępu do danych badawczych wraz z powiązanymi metadanymi, w szczególności poprzez:</w:t>
      </w:r>
    </w:p>
    <w:p w:rsidR="00E771C6" w:rsidRDefault="00E771C6" w:rsidP="00E771C6">
      <w:pPr>
        <w:pStyle w:val="Akapitzlist"/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planu zarządzania danymi badawczymi ustalającego zasady:</w:t>
      </w:r>
    </w:p>
    <w:p w:rsidR="00E771C6" w:rsidRDefault="00E771C6" w:rsidP="00E771C6">
      <w:pPr>
        <w:numPr>
          <w:ilvl w:val="1"/>
          <w:numId w:val="8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zarządzania danymi w trakcie i po zakończeniu badań, </w:t>
      </w:r>
    </w:p>
    <w:p w:rsidR="00E771C6" w:rsidRDefault="00E771C6" w:rsidP="00E771C6">
      <w:pPr>
        <w:numPr>
          <w:ilvl w:val="1"/>
          <w:numId w:val="8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precyzującego rodzaje danych zbieranych, przetwarzanych lub wytwarzanych w trakcie badań, </w:t>
      </w:r>
    </w:p>
    <w:p w:rsidR="00E771C6" w:rsidRDefault="00E771C6" w:rsidP="00E771C6">
      <w:pPr>
        <w:numPr>
          <w:ilvl w:val="1"/>
          <w:numId w:val="8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określającego stosowane w odniesieniu do danych metodologie i standardy, </w:t>
      </w:r>
    </w:p>
    <w:p w:rsidR="00E771C6" w:rsidRDefault="00E771C6" w:rsidP="00E771C6">
      <w:pPr>
        <w:numPr>
          <w:ilvl w:val="1"/>
          <w:numId w:val="8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udostępniania danych i ich długoterminową archiwizację,</w:t>
      </w:r>
    </w:p>
    <w:p w:rsidR="00E771C6" w:rsidRDefault="00E771C6" w:rsidP="00E771C6">
      <w:pPr>
        <w:numPr>
          <w:ilvl w:val="1"/>
          <w:numId w:val="8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aktualizację planu zarządzania danymi badawczymi w trakcie trwania badań, o ile zachodzi taka konieczność;</w:t>
      </w:r>
    </w:p>
    <w:p w:rsidR="00E771C6" w:rsidRDefault="00E771C6" w:rsidP="00E771C6">
      <w:pPr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ile nie istnieją przeszkody formalno-prawne, publiczne udostępnienie danych badawczych tak, by każdy miał do nich dostęp w czasie i miejscu przez siebie wybranym bez ograniczeń prawnych, np. wraz z udzieleniem wolnej licencji w repozytorium wskazanym przez Pełnomocnika do Spraw Otwartego Dostępu;</w:t>
      </w:r>
    </w:p>
    <w:p w:rsidR="00E771C6" w:rsidRDefault="00E771C6" w:rsidP="00E771C6">
      <w:pPr>
        <w:numPr>
          <w:ilvl w:val="0"/>
          <w:numId w:val="8"/>
        </w:num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zapewnienie, aby dane były: identyfikowalne, dostępne, zdatne do ponownego wykorzystania, użyteczne poza pierwotnym celem (dla którego zostały zebrane) oraz </w:t>
      </w:r>
      <w:proofErr w:type="spellStart"/>
      <w:r>
        <w:rPr>
          <w:rFonts w:ascii="Times New Roman" w:hAnsi="Times New Roman" w:cs="Times New Roman"/>
        </w:rPr>
        <w:t>interoperacyjne</w:t>
      </w:r>
      <w:proofErr w:type="spellEnd"/>
      <w:r>
        <w:rPr>
          <w:rFonts w:ascii="Times New Roman" w:hAnsi="Times New Roman" w:cs="Times New Roman"/>
        </w:rPr>
        <w:t>.</w:t>
      </w:r>
    </w:p>
    <w:p w:rsidR="00E771C6" w:rsidRDefault="00E771C6" w:rsidP="00E771C6">
      <w:pPr>
        <w:pStyle w:val="Default"/>
        <w:numPr>
          <w:ilvl w:val="0"/>
          <w:numId w:val="7"/>
        </w:numPr>
        <w:spacing w:line="360" w:lineRule="auto"/>
        <w:ind w:left="0" w:firstLine="284"/>
        <w:jc w:val="both"/>
        <w:rPr>
          <w:color w:val="FF0000"/>
        </w:rPr>
      </w:pPr>
      <w:r>
        <w:rPr>
          <w:color w:val="auto"/>
        </w:rPr>
        <w:lastRenderedPageBreak/>
        <w:t>Dopuszcza się ograniczenie przez prowadzących prace naukowo-badawcze  zakresu korzystania z danych badawczych poprzez wskazanie wybranych kategorii zakresów danych i osób uprawnionych do korzystania.</w:t>
      </w:r>
    </w:p>
    <w:p w:rsidR="00E771C6" w:rsidRDefault="00C3539A" w:rsidP="00434BCF">
      <w:pPr>
        <w:spacing w:before="240" w:after="240" w:line="360" w:lineRule="auto"/>
        <w:jc w:val="center"/>
        <w:rPr>
          <w:b/>
          <w:color w:val="auto"/>
        </w:rPr>
      </w:pPr>
      <w:r>
        <w:rPr>
          <w:b/>
          <w:color w:val="auto"/>
        </w:rPr>
        <w:t>§ 4</w:t>
      </w:r>
      <w:r w:rsidR="00E771C6">
        <w:rPr>
          <w:b/>
          <w:color w:val="auto"/>
        </w:rPr>
        <w:t>.</w:t>
      </w:r>
    </w:p>
    <w:p w:rsidR="00E771C6" w:rsidRDefault="00E771C6" w:rsidP="00E771C6">
      <w:pPr>
        <w:spacing w:before="57" w:after="57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Pełnomocnika do Spraw  Otwartego Dostępu należy:</w:t>
      </w:r>
    </w:p>
    <w:p w:rsidR="00E771C6" w:rsidRDefault="00E771C6" w:rsidP="00E771C6">
      <w:pPr>
        <w:pStyle w:val="Akapitzlist"/>
        <w:numPr>
          <w:ilvl w:val="0"/>
          <w:numId w:val="9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koordynacja prac związanych z tworzeniem, utrzymaniem i rozwojem infrastruktury otwartego dostępu  Wyższej Szkoły Policji w Szczytnie;</w:t>
      </w:r>
    </w:p>
    <w:p w:rsidR="00E771C6" w:rsidRDefault="00E771C6" w:rsidP="00E771C6">
      <w:pPr>
        <w:pStyle w:val="Akapitzlist"/>
        <w:numPr>
          <w:ilvl w:val="0"/>
          <w:numId w:val="9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edukacja adresatów </w:t>
      </w:r>
      <w:r>
        <w:rPr>
          <w:rFonts w:ascii="Times New Roman" w:hAnsi="Times New Roman" w:cs="Times New Roman"/>
          <w:color w:val="auto"/>
        </w:rPr>
        <w:t xml:space="preserve">Polityki otwartego dostępu </w:t>
      </w:r>
      <w:r>
        <w:rPr>
          <w:rFonts w:ascii="Times New Roman" w:hAnsi="Times New Roman" w:cs="Times New Roman"/>
        </w:rPr>
        <w:t>w zakresie otwartego dostępu do publikacji naukowych i danych badawczych;</w:t>
      </w:r>
    </w:p>
    <w:p w:rsidR="00E771C6" w:rsidRDefault="00E771C6" w:rsidP="00E771C6">
      <w:pPr>
        <w:pStyle w:val="Akapitzlist"/>
        <w:numPr>
          <w:ilvl w:val="0"/>
          <w:numId w:val="9"/>
        </w:numPr>
        <w:spacing w:before="57" w:after="57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przedstawianie </w:t>
      </w:r>
      <w:proofErr w:type="spellStart"/>
      <w:r>
        <w:rPr>
          <w:rFonts w:ascii="Times New Roman" w:hAnsi="Times New Roman" w:cs="Times New Roman"/>
        </w:rPr>
        <w:t>Komendantowi-Rektorowi</w:t>
      </w:r>
      <w:proofErr w:type="spellEnd"/>
      <w:r>
        <w:rPr>
          <w:rFonts w:ascii="Times New Roman" w:hAnsi="Times New Roman" w:cs="Times New Roman"/>
        </w:rPr>
        <w:t xml:space="preserve"> Wyższej Szkoły Policji w Szczytnie raportu na temat realizacji </w:t>
      </w:r>
      <w:r>
        <w:rPr>
          <w:rFonts w:ascii="Times New Roman" w:hAnsi="Times New Roman" w:cs="Times New Roman"/>
          <w:color w:val="auto"/>
        </w:rPr>
        <w:t xml:space="preserve">Polityki otwartego dostępu </w:t>
      </w:r>
      <w:r>
        <w:rPr>
          <w:rFonts w:ascii="Times New Roman" w:hAnsi="Times New Roman" w:cs="Times New Roman"/>
        </w:rPr>
        <w:t xml:space="preserve">za poprzedni rok do końca pierwszego kwartału następnego roku. </w:t>
      </w:r>
    </w:p>
    <w:sectPr w:rsidR="00E7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62"/>
    <w:multiLevelType w:val="hybridMultilevel"/>
    <w:tmpl w:val="42C29574"/>
    <w:lvl w:ilvl="0" w:tplc="142C329A">
      <w:start w:val="1"/>
      <w:numFmt w:val="decimal"/>
      <w:lvlText w:val="%1)"/>
      <w:lvlJc w:val="left"/>
      <w:pPr>
        <w:ind w:left="1068" w:hanging="360"/>
      </w:pPr>
      <w:rPr>
        <w:rFonts w:ascii="Times New Roman" w:eastAsia="Liberation Serif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540C9D"/>
    <w:multiLevelType w:val="hybridMultilevel"/>
    <w:tmpl w:val="85DA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334"/>
    <w:multiLevelType w:val="hybridMultilevel"/>
    <w:tmpl w:val="EAEAAA56"/>
    <w:lvl w:ilvl="0" w:tplc="084A3F14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B7AAD"/>
    <w:multiLevelType w:val="hybridMultilevel"/>
    <w:tmpl w:val="4350C908"/>
    <w:lvl w:ilvl="0" w:tplc="CF36DE4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3"/>
      </w:rPr>
    </w:lvl>
    <w:lvl w:ilvl="1" w:tplc="AF803EF6">
      <w:start w:val="1"/>
      <w:numFmt w:val="decimal"/>
      <w:lvlText w:val="%2)"/>
      <w:lvlJc w:val="left"/>
      <w:pPr>
        <w:ind w:left="1440" w:hanging="360"/>
      </w:pPr>
      <w:rPr>
        <w:rFonts w:ascii="Times New Roman" w:eastAsia="Liberation Serif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72DE8"/>
    <w:multiLevelType w:val="hybridMultilevel"/>
    <w:tmpl w:val="DEBC4C2A"/>
    <w:lvl w:ilvl="0" w:tplc="A6C8F1A0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B51832"/>
    <w:multiLevelType w:val="hybridMultilevel"/>
    <w:tmpl w:val="182C95E6"/>
    <w:lvl w:ilvl="0" w:tplc="8522DF1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54B4B49"/>
    <w:multiLevelType w:val="hybridMultilevel"/>
    <w:tmpl w:val="58529750"/>
    <w:lvl w:ilvl="0" w:tplc="772A1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765B0"/>
    <w:multiLevelType w:val="hybridMultilevel"/>
    <w:tmpl w:val="BB3A2EA4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733B7D33"/>
    <w:multiLevelType w:val="hybridMultilevel"/>
    <w:tmpl w:val="2E1EB2E2"/>
    <w:lvl w:ilvl="0" w:tplc="24CAAF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C6"/>
    <w:rsid w:val="002F3979"/>
    <w:rsid w:val="00434BCF"/>
    <w:rsid w:val="00545AD0"/>
    <w:rsid w:val="006C56B3"/>
    <w:rsid w:val="007C5619"/>
    <w:rsid w:val="00AA098C"/>
    <w:rsid w:val="00AE1CF8"/>
    <w:rsid w:val="00B508FD"/>
    <w:rsid w:val="00BD6964"/>
    <w:rsid w:val="00C3539A"/>
    <w:rsid w:val="00E771C6"/>
    <w:rsid w:val="00EC2C2D"/>
    <w:rsid w:val="00EE0E20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F5EE"/>
  <w15:docId w15:val="{328434F2-058A-41C0-B111-04FDA51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C6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1C6"/>
    <w:pPr>
      <w:ind w:left="720"/>
      <w:contextualSpacing/>
    </w:pPr>
  </w:style>
  <w:style w:type="paragraph" w:customStyle="1" w:styleId="Default">
    <w:name w:val="Default"/>
    <w:rsid w:val="00E77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79"/>
    <w:rPr>
      <w:rFonts w:ascii="Tahoma" w:eastAsia="Liberation Serif" w:hAnsi="Tahoma" w:cs="Tahoma"/>
      <w:color w:val="000000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Dzielak</dc:creator>
  <cp:lastModifiedBy>Andrzej Dyba</cp:lastModifiedBy>
  <cp:revision>16</cp:revision>
  <cp:lastPrinted>2021-12-07T08:10:00Z</cp:lastPrinted>
  <dcterms:created xsi:type="dcterms:W3CDTF">2021-11-23T14:42:00Z</dcterms:created>
  <dcterms:modified xsi:type="dcterms:W3CDTF">2022-01-25T08:26:00Z</dcterms:modified>
</cp:coreProperties>
</file>